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4" w:type="dxa"/>
        <w:tblInd w:w="0" w:type="dxa"/>
        <w:tblLayout w:type="autofit"/>
        <w:tblCellMar>
          <w:top w:w="0" w:type="dxa"/>
          <w:left w:w="70" w:type="dxa"/>
          <w:bottom w:w="0" w:type="dxa"/>
          <w:right w:w="70" w:type="dxa"/>
        </w:tblCellMar>
      </w:tblPr>
      <w:tblGrid>
        <w:gridCol w:w="670"/>
        <w:gridCol w:w="4399"/>
        <w:gridCol w:w="5265"/>
        <w:gridCol w:w="146"/>
        <w:gridCol w:w="14"/>
      </w:tblGrid>
      <w:tr>
        <w:tblPrEx>
          <w:tblCellMar>
            <w:top w:w="0" w:type="dxa"/>
            <w:left w:w="70" w:type="dxa"/>
            <w:bottom w:w="0" w:type="dxa"/>
            <w:right w:w="70" w:type="dxa"/>
          </w:tblCellMar>
        </w:tblPrEx>
        <w:trPr>
          <w:gridAfter w:val="2"/>
          <w:wAfter w:w="160" w:type="dxa"/>
          <w:trHeight w:val="450" w:hRule="atLeast"/>
        </w:trPr>
        <w:tc>
          <w:tcPr>
            <w:tcW w:w="10334"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hAnsi="Calibri" w:eastAsia="Times New Roman" w:cs="Calibri"/>
                <w:b/>
                <w:bCs/>
                <w:color w:val="FFFFFF"/>
                <w:lang w:eastAsia="sk-SK"/>
              </w:rPr>
            </w:pPr>
            <w:r>
              <w:rPr>
                <w:rFonts w:ascii="Calibri" w:hAnsi="Calibri" w:eastAsia="Times New Roman" w:cs="Calibri"/>
                <w:b/>
                <w:bCs/>
                <w:color w:val="FFFFFF"/>
                <w:lang w:eastAsia="sk-SK"/>
              </w:rPr>
              <w:t xml:space="preserve">Charakteristika predkladaného výstupu tvorivej činnosti / </w:t>
            </w:r>
            <w:r>
              <w:rPr>
                <w:rFonts w:ascii="Calibri" w:hAnsi="Calibri" w:eastAsia="Times New Roman" w:cs="Calibri"/>
                <w:b/>
                <w:bCs/>
                <w:color w:val="FFFFFF"/>
                <w:lang w:eastAsia="sk-SK"/>
              </w:rPr>
              <w:br w:type="textWrapping"/>
            </w:r>
            <w:r>
              <w:rPr>
                <w:rFonts w:ascii="Calibri" w:hAnsi="Calibri" w:eastAsia="Times New Roman" w:cs="Calibri"/>
                <w:b/>
                <w:bCs/>
                <w:color w:val="FFFFFF"/>
                <w:lang w:eastAsia="sk-SK"/>
              </w:rPr>
              <w:t>Characteristics of the submitted research/ artistic/other output</w:t>
            </w:r>
          </w:p>
        </w:tc>
      </w:tr>
      <w:tr>
        <w:tblPrEx>
          <w:tblCellMar>
            <w:top w:w="0" w:type="dxa"/>
            <w:left w:w="70" w:type="dxa"/>
            <w:bottom w:w="0" w:type="dxa"/>
            <w:right w:w="70" w:type="dxa"/>
          </w:tblCellMar>
        </w:tblPrEx>
        <w:trPr>
          <w:gridAfter w:val="1"/>
          <w:wAfter w:w="14" w:type="dxa"/>
          <w:trHeight w:val="450" w:hRule="atLeast"/>
        </w:trPr>
        <w:tc>
          <w:tcPr>
            <w:tcW w:w="10334" w:type="dxa"/>
            <w:gridSpan w:val="3"/>
            <w:vMerge w:val="continue"/>
            <w:tcBorders>
              <w:top w:val="nil"/>
              <w:left w:val="nil"/>
              <w:bottom w:val="nil"/>
              <w:right w:val="nil"/>
            </w:tcBorders>
            <w:vAlign w:val="center"/>
          </w:tcPr>
          <w:p>
            <w:pPr>
              <w:spacing w:after="0" w:line="240" w:lineRule="auto"/>
              <w:rPr>
                <w:rFonts w:ascii="Calibri" w:hAnsi="Calibri" w:eastAsia="Times New Roman" w:cs="Calibri"/>
                <w:b/>
                <w:bCs/>
                <w:color w:val="FFFFFF"/>
                <w:lang w:eastAsia="sk-SK"/>
              </w:rPr>
            </w:pPr>
          </w:p>
        </w:tc>
        <w:tc>
          <w:tcPr>
            <w:tcW w:w="146"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FFFFFF"/>
                <w:lang w:eastAsia="sk-SK"/>
              </w:rPr>
            </w:pPr>
          </w:p>
        </w:tc>
      </w:tr>
      <w:tr>
        <w:tblPrEx>
          <w:tblCellMar>
            <w:top w:w="0" w:type="dxa"/>
            <w:left w:w="70" w:type="dxa"/>
            <w:bottom w:w="0" w:type="dxa"/>
            <w:right w:w="70" w:type="dxa"/>
          </w:tblCellMar>
        </w:tblPrEx>
        <w:trPr>
          <w:gridAfter w:val="1"/>
          <w:wAfter w:w="14" w:type="dxa"/>
          <w:trHeight w:val="60" w:hRule="atLeast"/>
        </w:trPr>
        <w:tc>
          <w:tcPr>
            <w:tcW w:w="670"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9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6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75" w:hRule="atLeast"/>
        </w:trPr>
        <w:tc>
          <w:tcPr>
            <w:tcW w:w="10334" w:type="dxa"/>
            <w:gridSpan w:val="3"/>
            <w:vMerge w:val="restart"/>
            <w:tcBorders>
              <w:top w:val="nil"/>
              <w:left w:val="nil"/>
              <w:bottom w:val="nil"/>
              <w:right w:val="nil"/>
            </w:tcBorders>
            <w:shd w:val="clear" w:color="auto" w:fill="auto"/>
            <w:vAlign w:val="bottom"/>
          </w:tcPr>
          <w:p>
            <w:pPr>
              <w:spacing w:after="0" w:line="240" w:lineRule="auto"/>
              <w:rPr>
                <w:rFonts w:ascii="Calibri" w:hAnsi="Calibri" w:eastAsia="Times New Roman" w:cs="Calibri"/>
                <w:i/>
                <w:iCs/>
                <w:color w:val="2F5597"/>
                <w:sz w:val="16"/>
                <w:szCs w:val="16"/>
                <w:lang w:eastAsia="sk-SK"/>
              </w:rPr>
            </w:pPr>
            <w:r>
              <w:rPr>
                <w:rFonts w:ascii="Calibri" w:hAnsi="Calibri"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75" w:hRule="atLeast"/>
        </w:trPr>
        <w:tc>
          <w:tcPr>
            <w:tcW w:w="10334" w:type="dxa"/>
            <w:gridSpan w:val="3"/>
            <w:vMerge w:val="continue"/>
            <w:tcBorders>
              <w:top w:val="nil"/>
              <w:left w:val="nil"/>
              <w:bottom w:val="nil"/>
              <w:right w:val="nil"/>
            </w:tcBorders>
            <w:vAlign w:val="center"/>
          </w:tcPr>
          <w:p>
            <w:pPr>
              <w:spacing w:after="0" w:line="240" w:lineRule="auto"/>
              <w:rPr>
                <w:rFonts w:ascii="Calibri" w:hAnsi="Calibri" w:eastAsia="Times New Roman"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i/>
                <w:iCs/>
                <w:color w:val="2F5597"/>
                <w:sz w:val="16"/>
                <w:szCs w:val="16"/>
                <w:lang w:eastAsia="sk-SK"/>
              </w:rPr>
            </w:pPr>
          </w:p>
        </w:tc>
      </w:tr>
      <w:tr>
        <w:tblPrEx>
          <w:tblCellMar>
            <w:top w:w="0" w:type="dxa"/>
            <w:left w:w="70" w:type="dxa"/>
            <w:bottom w:w="0" w:type="dxa"/>
            <w:right w:w="70" w:type="dxa"/>
          </w:tblCellMar>
        </w:tblPrEx>
        <w:trPr>
          <w:gridAfter w:val="1"/>
          <w:wAfter w:w="14" w:type="dxa"/>
          <w:trHeight w:val="90" w:hRule="atLeast"/>
        </w:trPr>
        <w:tc>
          <w:tcPr>
            <w:tcW w:w="670"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9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6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45" w:hRule="atLeast"/>
        </w:trPr>
        <w:tc>
          <w:tcPr>
            <w:tcW w:w="670"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99" w:type="dxa"/>
            <w:tcBorders>
              <w:top w:val="single" w:color="2F5597" w:sz="8" w:space="0"/>
              <w:left w:val="single" w:color="2F5597" w:sz="8" w:space="0"/>
              <w:bottom w:val="nil"/>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ID konania/ID of the procedure: </w:t>
            </w:r>
            <w:r>
              <w:rPr>
                <w:rFonts w:ascii="Calibri" w:hAnsi="Calibri" w:eastAsia="Times New Roman" w:cs="Calibri"/>
                <w:sz w:val="16"/>
                <w:szCs w:val="16"/>
                <w:vertAlign w:val="superscript"/>
                <w:lang w:eastAsia="sk-SK"/>
              </w:rPr>
              <w:t>1</w:t>
            </w:r>
            <w:r>
              <w:rPr>
                <w:rFonts w:ascii="Calibri" w:hAnsi="Calibri" w:eastAsia="Times New Roman" w:cs="Calibri"/>
                <w:sz w:val="16"/>
                <w:szCs w:val="16"/>
                <w:vertAlign w:val="superscript"/>
                <w:lang w:eastAsia="sk-SK"/>
              </w:rPr>
              <w:fldChar w:fldCharType="end"/>
            </w:r>
          </w:p>
        </w:tc>
        <w:tc>
          <w:tcPr>
            <w:tcW w:w="5265" w:type="dxa"/>
            <w:tcBorders>
              <w:top w:val="single" w:color="2F5597" w:sz="8" w:space="0"/>
              <w:left w:val="nil"/>
              <w:bottom w:val="nil"/>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45" w:hRule="atLeast"/>
        </w:trPr>
        <w:tc>
          <w:tcPr>
            <w:tcW w:w="670"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single" w:color="2F5597" w:sz="8" w:space="0"/>
              <w:bottom w:val="single" w:color="2F5597" w:sz="8" w:space="0"/>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bookmarkStart w:id="0" w:name="RANGE!C9"/>
            <w:r>
              <w:rPr>
                <w:rFonts w:ascii="Calibri" w:hAnsi="Calibri" w:eastAsia="Times New Roman" w:cs="Calibri"/>
                <w:sz w:val="16"/>
                <w:szCs w:val="16"/>
                <w:lang w:eastAsia="sk-SK"/>
              </w:rPr>
              <w:fldChar w:fldCharType="begin"/>
            </w:r>
            <w:r>
              <w:rPr>
                <w:rFonts w:ascii="Calibri" w:hAnsi="Calibri" w:eastAsia="Times New Roman" w:cs="Calibri"/>
                <w:sz w:val="16"/>
                <w:szCs w:val="16"/>
                <w:lang w:eastAsia="sk-SK"/>
              </w:rPr>
              <w:instrText xml:space="preserve"> HYPERLINK "file:///E:\\Šablony%20akreditácia\\4_VTC.xlsx" \l "'poznamky_explanatory notes'!A1" </w:instrText>
            </w:r>
            <w:r>
              <w:rPr>
                <w:rFonts w:ascii="Calibri" w:hAnsi="Calibri" w:eastAsia="Times New Roman" w:cs="Calibri"/>
                <w:sz w:val="16"/>
                <w:szCs w:val="16"/>
                <w:lang w:eastAsia="sk-SK"/>
              </w:rPr>
              <w:fldChar w:fldCharType="separate"/>
            </w:r>
            <w:r>
              <w:rPr>
                <w:rFonts w:ascii="Calibri" w:hAnsi="Calibri" w:eastAsia="Times New Roman" w:cs="Calibri"/>
                <w:sz w:val="16"/>
                <w:szCs w:val="16"/>
                <w:lang w:eastAsia="sk-SK"/>
              </w:rPr>
              <w:t>Kód VTC/Code of the research/artistic/other output (RAOO):</w:t>
            </w:r>
            <w:r>
              <w:rPr>
                <w:rFonts w:ascii="Calibri" w:hAnsi="Calibri" w:eastAsia="Times New Roman" w:cs="Calibri"/>
                <w:sz w:val="16"/>
                <w:szCs w:val="16"/>
                <w:vertAlign w:val="superscript"/>
                <w:lang w:eastAsia="sk-SK"/>
              </w:rPr>
              <w:t>1</w:t>
            </w:r>
            <w:r>
              <w:rPr>
                <w:rFonts w:ascii="Calibri" w:hAnsi="Calibri" w:eastAsia="Times New Roman" w:cs="Calibri"/>
                <w:sz w:val="16"/>
                <w:szCs w:val="16"/>
                <w:lang w:eastAsia="sk-SK"/>
              </w:rPr>
              <w:fldChar w:fldCharType="end"/>
            </w:r>
            <w:bookmarkEnd w:id="0"/>
          </w:p>
        </w:tc>
        <w:tc>
          <w:tcPr>
            <w:tcW w:w="5265" w:type="dxa"/>
            <w:tcBorders>
              <w:top w:val="nil"/>
              <w:left w:val="nil"/>
              <w:bottom w:val="single" w:color="2F5597" w:sz="8" w:space="0"/>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405" w:hRule="atLeast"/>
        </w:trPr>
        <w:tc>
          <w:tcPr>
            <w:tcW w:w="670"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6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510"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 Priezvisko hodnotenej osoby / Surname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65" w:type="dxa"/>
            <w:tcBorders>
              <w:top w:val="single" w:color="auto" w:sz="8" w:space="0"/>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Koňošová</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15" w:hRule="atLeast"/>
        </w:trPr>
        <w:tc>
          <w:tcPr>
            <w:tcW w:w="5069"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OCA2. Meno hodnotenej osoby / 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Helena</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510" w:hRule="atLeast"/>
        </w:trPr>
        <w:tc>
          <w:tcPr>
            <w:tcW w:w="5069"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OCA3. Tituly hodnotenej osoby / Degrees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Doc. PhDr., PhD.</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660"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OCA4. Hyperlink na záznam osoby v Registri zamestnancov vysokých škôl / Hyperlink to the entry of the person in the Register of university staff </w:t>
            </w:r>
            <w:r>
              <w:rPr>
                <w:rFonts w:ascii="Calibri" w:hAnsi="Calibri" w:eastAsia="Times New Roman" w:cs="Calibri"/>
                <w:sz w:val="16"/>
                <w:szCs w:val="16"/>
                <w:vertAlign w:val="superscript"/>
                <w:lang w:eastAsia="sk-SK"/>
              </w:rPr>
              <w:t>3</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olor w:val="000000"/>
                <w:sz w:val="16"/>
                <w:szCs w:val="16"/>
                <w:lang w:eastAsia="sk-SK"/>
              </w:rPr>
              <w:t>https://www.portalvs.sk/regzam/detail/12308</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300"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OCA5. Oblasť posudzovania / Area of assessment </w:t>
            </w:r>
            <w:r>
              <w:rPr>
                <w:rFonts w:ascii="Calibri" w:hAnsi="Calibri" w:eastAsia="Times New Roman" w:cs="Calibri"/>
                <w:sz w:val="16"/>
                <w:szCs w:val="16"/>
                <w:vertAlign w:val="superscript"/>
                <w:lang w:eastAsia="sk-SK"/>
              </w:rPr>
              <w:t>4</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hint="default" w:ascii="Calibri" w:hAnsi="Calibri" w:eastAsia="Times New Roman" w:cs="Calibri"/>
                <w:color w:val="000000"/>
                <w:sz w:val="16"/>
                <w:szCs w:val="16"/>
                <w:lang w:val="en-US" w:eastAsia="sk-SK"/>
              </w:rPr>
              <w:t>Ošetrovateľstvo III.stupeň/ Nursing III.degree</w:t>
            </w:r>
            <w:bookmarkStart w:id="3" w:name="_GoBack"/>
            <w:bookmarkEnd w:id="3"/>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972"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"Expl.OCA6!A1" </w:instrText>
            </w:r>
            <w:r>
              <w:fldChar w:fldCharType="separate"/>
            </w:r>
            <w:r>
              <w:rPr>
                <w:rFonts w:ascii="Calibri" w:hAnsi="Calibri" w:eastAsia="Times New Roman" w:cs="Calibri"/>
                <w:sz w:val="16"/>
                <w:szCs w:val="16"/>
                <w:lang w:eastAsia="sk-SK"/>
              </w:rPr>
              <w:t xml:space="preserve">OCA6. Kategória výstupu tvorivej činnosti / Category of the research/ artistic/other output </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 možností (pozri Vysvetlivky k položke OCA6) / Choice from 6 options (see Explanations for OCA6). </w:t>
            </w:r>
            <w:r>
              <w:rPr>
                <w:rFonts w:ascii="Calibri" w:hAnsi="Calibri" w:eastAsia="Times New Roman" w:cs="Calibri"/>
                <w:i/>
                <w:iCs/>
                <w:color w:val="808080"/>
                <w:sz w:val="16"/>
                <w:szCs w:val="16"/>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cstheme="minorHAnsi"/>
                <w:bCs/>
                <w:sz w:val="16"/>
              </w:rPr>
            </w:pPr>
            <w:r>
              <w:rPr>
                <w:rFonts w:ascii="Calibri" w:hAnsi="Calibri" w:eastAsia="Times New Roman" w:cs="Calibri"/>
                <w:i/>
                <w:iCs/>
                <w:color w:val="000000"/>
                <w:sz w:val="16"/>
                <w:szCs w:val="16"/>
                <w:lang w:eastAsia="sk-SK"/>
              </w:rPr>
              <w:t> </w:t>
            </w:r>
            <w:r>
              <w:rPr>
                <w:sz w:val="16"/>
                <w:szCs w:val="16"/>
              </w:rPr>
              <w:t xml:space="preserve">pedagogický výstup / pedagogical </w:t>
            </w:r>
            <w:r>
              <w:rPr>
                <w:rFonts w:cstheme="minorHAnsi"/>
                <w:bCs/>
                <w:sz w:val="16"/>
              </w:rPr>
              <w:t>output</w:t>
            </w:r>
          </w:p>
          <w:p>
            <w:pPr>
              <w:spacing w:after="0" w:line="240" w:lineRule="auto"/>
              <w:rPr>
                <w:rFonts w:cstheme="minorHAnsi"/>
                <w:bCs/>
                <w:sz w:val="16"/>
              </w:rPr>
            </w:pPr>
          </w:p>
          <w:p>
            <w:pPr>
              <w:keepNext w:val="0"/>
              <w:keepLines w:val="0"/>
              <w:widowControl/>
              <w:suppressLineNumbers w:val="0"/>
              <w:shd w:val="clear" w:fill="FFFFFF"/>
              <w:spacing w:line="10" w:lineRule="atLeast"/>
              <w:ind w:left="0" w:firstLine="0"/>
              <w:rPr>
                <w:rFonts w:hint="default" w:cstheme="minorHAnsi"/>
                <w:bCs/>
                <w:sz w:val="16"/>
                <w:lang w:val="sk-SK" w:eastAsia="sk-SK"/>
              </w:rPr>
            </w:pPr>
            <w:r>
              <w:rPr>
                <w:rFonts w:hint="default" w:ascii="Calibri" w:hAnsi="Calibri" w:cs="Calibri"/>
                <w:bCs/>
                <w:sz w:val="16"/>
                <w:lang w:val="sk-SK"/>
              </w:rPr>
              <w:t>Koňošová,H., Matulníková,Ľ.:Vybrané kapitoly z ošetrovateľskej teorie. Bratislava: Gerthofe</w:t>
            </w:r>
            <w:r>
              <w:rPr>
                <w:rFonts w:hint="default" w:ascii="Calibri" w:hAnsi="Calibri" w:cs="Calibri"/>
                <w:bCs/>
                <w:sz w:val="16"/>
                <w:szCs w:val="16"/>
                <w:lang w:val="sk-SK"/>
              </w:rPr>
              <w:t xml:space="preserve">r, 2012, 103 s. </w:t>
            </w:r>
            <w:r>
              <w:rPr>
                <w:rFonts w:hint="default" w:ascii="Calibri" w:hAnsi="Calibri" w:eastAsia="Helvetica" w:cs="Calibri"/>
                <w:b w:val="0"/>
                <w:bCs w:val="0"/>
                <w:i w:val="0"/>
                <w:iCs w:val="0"/>
                <w:caps w:val="0"/>
                <w:color w:val="333333"/>
                <w:spacing w:val="0"/>
                <w:sz w:val="16"/>
                <w:szCs w:val="16"/>
                <w:shd w:val="clear" w:fill="FFFFFF"/>
              </w:rPr>
              <w:t>ISBN</w:t>
            </w:r>
            <w:r>
              <w:rPr>
                <w:rFonts w:hint="default" w:ascii="Calibri" w:hAnsi="Calibri" w:eastAsia="Helvetica" w:cs="Calibri"/>
                <w:b w:val="0"/>
                <w:bCs w:val="0"/>
                <w:i w:val="0"/>
                <w:iCs w:val="0"/>
                <w:caps w:val="0"/>
                <w:color w:val="333333"/>
                <w:spacing w:val="0"/>
                <w:sz w:val="16"/>
                <w:szCs w:val="16"/>
                <w:shd w:val="clear" w:fill="FFFFFF"/>
                <w:lang w:val="sk-SK"/>
              </w:rPr>
              <w:t xml:space="preserve"> </w:t>
            </w:r>
            <w:r>
              <w:rPr>
                <w:rFonts w:hint="default" w:ascii="Calibri" w:hAnsi="Calibri" w:eastAsia="Helvetica" w:cs="Calibri"/>
                <w:b w:val="0"/>
                <w:bCs w:val="0"/>
                <w:i w:val="0"/>
                <w:iCs w:val="0"/>
                <w:caps w:val="0"/>
                <w:color w:val="333333"/>
                <w:spacing w:val="0"/>
                <w:sz w:val="16"/>
                <w:szCs w:val="16"/>
                <w:shd w:val="clear" w:fill="FFFFFF"/>
              </w:rPr>
              <w:t>978-80-8132-052-1</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510" w:hRule="atLeast"/>
        </w:trPr>
        <w:tc>
          <w:tcPr>
            <w:tcW w:w="5069" w:type="dxa"/>
            <w:gridSpan w:val="2"/>
            <w:tcBorders>
              <w:top w:val="single" w:color="auto" w:sz="8" w:space="0"/>
              <w:left w:val="single" w:color="auto" w:sz="8" w:space="0"/>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OCA7. Rok vydania výstupu tvorivej činnosti / Year of publication of the research/artistic/other output</w:t>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2012</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660"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OCA8. ID záznamu v CREPČ alebo CREUČ </w:t>
            </w:r>
            <w:r>
              <w:rPr>
                <w:rFonts w:ascii="Calibri" w:hAnsi="Calibri" w:eastAsia="Times New Roman" w:cs="Calibri"/>
                <w:i/>
                <w:iCs/>
                <w:sz w:val="16"/>
                <w:szCs w:val="16"/>
                <w:lang w:eastAsia="sk-SK"/>
              </w:rPr>
              <w:t>(ak je)</w:t>
            </w:r>
            <w:r>
              <w:rPr>
                <w:rFonts w:ascii="Calibri" w:hAnsi="Calibri" w:eastAsia="Times New Roman" w:cs="Calibri"/>
                <w:sz w:val="16"/>
                <w:szCs w:val="16"/>
                <w:lang w:eastAsia="sk-SK"/>
              </w:rPr>
              <w:t xml:space="preserve"> / ID of the record in the Central Registry of Publication Activity (CRPA) or the Central Registry of Artistic Activity (CRAA) </w:t>
            </w:r>
            <w:r>
              <w:rPr>
                <w:rFonts w:ascii="Calibri" w:hAnsi="Calibri" w:eastAsia="Times New Roman" w:cs="Calibri"/>
                <w:sz w:val="16"/>
                <w:szCs w:val="16"/>
                <w:vertAlign w:val="superscript"/>
                <w:lang w:eastAsia="sk-SK"/>
              </w:rPr>
              <w:t>5</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ascii="Helvetica" w:hAnsi="Helvetica" w:eastAsia="Helvetica" w:cs="Helvetica"/>
                <w:i w:val="0"/>
                <w:iCs w:val="0"/>
                <w:caps w:val="0"/>
                <w:color w:val="333333"/>
                <w:spacing w:val="0"/>
                <w:sz w:val="13"/>
                <w:szCs w:val="13"/>
                <w:shd w:val="clear" w:fill="FFFFFF"/>
              </w:rPr>
              <w:t>285169</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645" w:hRule="atLeast"/>
        </w:trPr>
        <w:tc>
          <w:tcPr>
            <w:tcW w:w="506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OCA9. Hyperlink na záznam v CREPČ alebo CREUČ / Hyperlink to the record in CRPA or CRAA </w:t>
            </w:r>
            <w:r>
              <w:rPr>
                <w:rFonts w:ascii="Calibri" w:hAnsi="Calibri" w:eastAsia="Times New Roman" w:cs="Calibri"/>
                <w:sz w:val="16"/>
                <w:szCs w:val="16"/>
                <w:vertAlign w:val="superscript"/>
                <w:lang w:eastAsia="sk-SK"/>
              </w:rPr>
              <w:t>6</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olor w:val="000000"/>
                <w:sz w:val="16"/>
                <w:szCs w:val="16"/>
                <w:lang w:eastAsia="sk-SK"/>
              </w:rPr>
              <w:t>https://app.crepc.sk/?fn=detailBiblioForm&amp;sid=E9E107F4831C69DFA8017015FA</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1065" w:hRule="atLeast"/>
        </w:trPr>
        <w:tc>
          <w:tcPr>
            <w:tcW w:w="670" w:type="dxa"/>
            <w:vMerge w:val="restart"/>
            <w:tcBorders>
              <w:top w:val="nil"/>
              <w:left w:val="single" w:color="auto" w:sz="8" w:space="0"/>
              <w:bottom w:val="single" w:color="auto" w:sz="8" w:space="0"/>
              <w:right w:val="single" w:color="auto" w:sz="8" w:space="0"/>
            </w:tcBorders>
            <w:shd w:val="clear" w:color="FBE5D6" w:fill="DAE3F3"/>
            <w:textDirection w:val="btLr"/>
            <w:vAlign w:val="center"/>
          </w:tcPr>
          <w:p>
            <w:pPr>
              <w:spacing w:after="0" w:line="240" w:lineRule="auto"/>
              <w:jc w:val="center"/>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99"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hAnsi="Calibri" w:eastAsia="Times New Roman" w:cs="Calibri"/>
                <w:sz w:val="16"/>
                <w:szCs w:val="16"/>
                <w:vertAlign w:val="superscript"/>
                <w:lang w:eastAsia="sk-SK"/>
              </w:rPr>
              <w:t>7</w:t>
            </w:r>
            <w:r>
              <w:rPr>
                <w:rFonts w:ascii="Calibri" w:hAnsi="Calibri" w:eastAsia="Times New Roman" w:cs="Calibri"/>
                <w:sz w:val="16"/>
                <w:szCs w:val="16"/>
                <w:vertAlign w:val="superscript"/>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1515" w:hRule="atLeast"/>
        </w:trPr>
        <w:tc>
          <w:tcPr>
            <w:tcW w:w="670"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1290" w:hRule="atLeast"/>
        </w:trPr>
        <w:tc>
          <w:tcPr>
            <w:tcW w:w="670"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"Expl.OCA12!A1" </w:instrText>
            </w:r>
            <w:r>
              <w:fldChar w:fldCharType="separate"/>
            </w:r>
            <w:r>
              <w:rPr>
                <w:rFonts w:ascii="Calibri" w:hAnsi="Calibri" w:eastAsia="Times New Roman" w:cs="Calibri"/>
                <w:sz w:val="16"/>
                <w:szCs w:val="16"/>
                <w:lang w:eastAsia="sk-SK"/>
              </w:rPr>
              <w:t>OCA12. Typ výstupu (ak nie je výstup registrovaný v CREPČ alebo CREUČ) / Type of the output (if the output is not registered in CRPA or CRAA)</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67 možností (pozri Vysvetlivky k položke OCA12) / Choice from 67 options (see Explanations for OCA12). </w:t>
            </w:r>
            <w:r>
              <w:rPr>
                <w:rFonts w:ascii="Calibri" w:hAnsi="Calibri" w:eastAsia="Times New Roman" w:cs="Calibri"/>
                <w:i/>
                <w:iCs/>
                <w:color w:val="808080"/>
                <w:sz w:val="16"/>
                <w:szCs w:val="16"/>
                <w:lang w:eastAsia="sk-SK"/>
              </w:rPr>
              <w:fldChar w:fldCharType="end"/>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i/>
                <w:iCs/>
                <w:color w:val="000000"/>
                <w:sz w:val="16"/>
                <w:szCs w:val="16"/>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1110" w:hRule="atLeast"/>
        </w:trPr>
        <w:tc>
          <w:tcPr>
            <w:tcW w:w="670"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14" w:type="dxa"/>
          <w:trHeight w:val="765" w:hRule="atLeast"/>
        </w:trPr>
        <w:tc>
          <w:tcPr>
            <w:tcW w:w="670"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OCA14. Charakteristika autorského vkladu / Characteristics of the author's contribution</w:t>
            </w:r>
          </w:p>
        </w:tc>
        <w:tc>
          <w:tcPr>
            <w:tcW w:w="526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2310" w:hRule="atLeast"/>
        </w:trPr>
        <w:tc>
          <w:tcPr>
            <w:tcW w:w="670"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99" w:type="dxa"/>
            <w:tcBorders>
              <w:top w:val="nil"/>
              <w:left w:val="nil"/>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hAnsi="Calibri" w:eastAsia="Times New Roman" w:cs="Calibri"/>
                <w:sz w:val="16"/>
                <w:szCs w:val="16"/>
                <w:vertAlign w:val="superscript"/>
                <w:lang w:eastAsia="sk-SK"/>
              </w:rPr>
              <w:t>8</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page"/>
            </w:r>
            <w:r>
              <w:rPr>
                <w:rFonts w:ascii="Calibri" w:hAnsi="Calibri" w:eastAsia="Times New Roman" w:cs="Calibri"/>
                <w:i/>
                <w:iCs/>
                <w:color w:val="808080"/>
                <w:sz w:val="16"/>
                <w:szCs w:val="16"/>
                <w:lang w:eastAsia="sk-SK"/>
              </w:rPr>
              <w:t xml:space="preserve">Rozsah do 200 slov v anglickom jazyku / Range up to 200 words in English </w:t>
            </w:r>
            <w:r>
              <w:rPr>
                <w:rFonts w:ascii="Calibri" w:hAnsi="Calibri" w:eastAsia="Times New Roman" w:cs="Calibri"/>
                <w:i/>
                <w:iCs/>
                <w:color w:val="808080"/>
                <w:sz w:val="16"/>
                <w:szCs w:val="16"/>
                <w:lang w:eastAsia="sk-SK"/>
              </w:rPr>
              <w:fldChar w:fldCharType="end"/>
            </w:r>
          </w:p>
        </w:tc>
        <w:tc>
          <w:tcPr>
            <w:tcW w:w="5265" w:type="dxa"/>
            <w:tcBorders>
              <w:top w:val="nil"/>
              <w:left w:val="single" w:color="auto" w:sz="8" w:space="0"/>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6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15" w:hRule="atLeast"/>
        </w:trPr>
        <w:tc>
          <w:tcPr>
            <w:tcW w:w="5069" w:type="dxa"/>
            <w:gridSpan w:val="2"/>
            <w:tcBorders>
              <w:top w:val="single" w:color="auto" w:sz="8" w:space="0"/>
              <w:left w:val="single" w:color="auto" w:sz="8" w:space="0"/>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OCA16. Anotácia výstupu v anglickom jazyku / Annotation of the output in English </w:t>
            </w:r>
            <w:r>
              <w:rPr>
                <w:rFonts w:ascii="Calibri" w:hAnsi="Calibri" w:eastAsia="Times New Roman" w:cs="Calibri"/>
                <w:sz w:val="16"/>
                <w:szCs w:val="16"/>
                <w:vertAlign w:val="superscript"/>
                <w:lang w:eastAsia="sk-SK"/>
              </w:rPr>
              <w:t xml:space="preserve"> 9</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 Range up to 200 words</w:t>
            </w:r>
            <w:r>
              <w:rPr>
                <w:rFonts w:ascii="Calibri" w:hAnsi="Calibri" w:eastAsia="Times New Roman" w:cs="Calibri"/>
                <w:i/>
                <w:iCs/>
                <w:color w:val="808080"/>
                <w:sz w:val="16"/>
                <w:szCs w:val="16"/>
                <w:lang w:eastAsia="sk-SK"/>
              </w:rPr>
              <w:fldChar w:fldCharType="end"/>
            </w:r>
          </w:p>
        </w:tc>
        <w:tc>
          <w:tcPr>
            <w:tcW w:w="5265" w:type="dxa"/>
            <w:tcBorders>
              <w:top w:val="nil"/>
              <w:left w:val="single" w:color="auto" w:sz="8" w:space="0"/>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Times New Roman" w:cs="Calibri"/>
                <w:color w:val="000000"/>
                <w:sz w:val="16"/>
                <w:szCs w:val="16"/>
                <w:lang w:val="sk-SK" w:eastAsia="sk-SK"/>
              </w:rPr>
            </w:pPr>
            <w:r>
              <w:rPr>
                <w:rFonts w:hint="default" w:ascii="Calibri" w:hAnsi="Calibri" w:cs="Calibri"/>
                <w:i w:val="0"/>
                <w:iCs w:val="0"/>
                <w:caps w:val="0"/>
                <w:color w:val="202124"/>
                <w:spacing w:val="0"/>
                <w:sz w:val="16"/>
                <w:szCs w:val="16"/>
                <w:shd w:val="clear" w:fill="F8F9FA"/>
                <w:lang w:val="sk-SK"/>
              </w:rPr>
              <w:t xml:space="preserve">Text explains </w:t>
            </w:r>
            <w:r>
              <w:rPr>
                <w:rFonts w:hint="default" w:ascii="Calibri" w:hAnsi="Calibri" w:cs="Calibri"/>
                <w:i w:val="0"/>
                <w:iCs w:val="0"/>
                <w:caps w:val="0"/>
                <w:color w:val="202124"/>
                <w:spacing w:val="0"/>
                <w:sz w:val="16"/>
                <w:szCs w:val="16"/>
                <w:shd w:val="clear" w:fill="F8F9FA"/>
                <w:lang w:val="en-US"/>
              </w:rPr>
              <w:t xml:space="preserve"> selected nursing models and theories and their use in nursing practice.</w:t>
            </w:r>
            <w:r>
              <w:rPr>
                <w:rFonts w:hint="default" w:ascii="Calibri" w:hAnsi="Calibri" w:cs="Calibri"/>
                <w:i w:val="0"/>
                <w:iCs w:val="0"/>
                <w:caps w:val="0"/>
                <w:color w:val="202124"/>
                <w:spacing w:val="0"/>
                <w:sz w:val="16"/>
                <w:szCs w:val="16"/>
                <w:shd w:val="clear" w:fill="F8F9FA"/>
                <w:lang w:val="sk-SK"/>
              </w:rPr>
              <w:t xml:space="preserve"> </w:t>
            </w:r>
            <w:r>
              <w:rPr>
                <w:rFonts w:hint="default" w:ascii="Calibri" w:hAnsi="Calibri" w:cs="Calibri"/>
                <w:i w:val="0"/>
                <w:iCs w:val="0"/>
                <w:caps w:val="0"/>
                <w:color w:val="202124"/>
                <w:spacing w:val="0"/>
                <w:sz w:val="16"/>
                <w:szCs w:val="16"/>
                <w:shd w:val="clear" w:fill="F8F9FA"/>
                <w:lang w:val="en-US"/>
              </w:rPr>
              <w:t>It supports the independent role of the nurse in assessing, managing, providing and evaluating the needs of the patient and nursing care in health and illness</w:t>
            </w:r>
            <w:r>
              <w:rPr>
                <w:rFonts w:hint="default" w:ascii="Calibri" w:hAnsi="Calibri" w:cs="Calibri"/>
                <w:i w:val="0"/>
                <w:iCs w:val="0"/>
                <w:caps w:val="0"/>
                <w:color w:val="202124"/>
                <w:spacing w:val="0"/>
                <w:sz w:val="16"/>
                <w:szCs w:val="16"/>
                <w:shd w:val="clear" w:fill="F8F9FA"/>
                <w:lang w:val="sk-SK"/>
              </w:rPr>
              <w:t>, i</w:t>
            </w:r>
            <w:r>
              <w:rPr>
                <w:rFonts w:hint="default" w:ascii="Calibri" w:hAnsi="Calibri" w:cs="Calibri"/>
                <w:i w:val="0"/>
                <w:iCs w:val="0"/>
                <w:caps w:val="0"/>
                <w:color w:val="202124"/>
                <w:spacing w:val="0"/>
                <w:sz w:val="16"/>
                <w:szCs w:val="16"/>
                <w:shd w:val="clear" w:fill="F8F9FA"/>
                <w:lang w:val="en-US"/>
              </w:rPr>
              <w:t xml:space="preserve">n various states </w:t>
            </w:r>
            <w:r>
              <w:rPr>
                <w:rFonts w:hint="default" w:ascii="Calibri" w:hAnsi="Calibri" w:cs="Calibri"/>
                <w:i w:val="0"/>
                <w:iCs w:val="0"/>
                <w:caps w:val="0"/>
                <w:color w:val="202124"/>
                <w:spacing w:val="0"/>
                <w:sz w:val="16"/>
                <w:szCs w:val="16"/>
                <w:shd w:val="clear" w:fill="F8F9FA"/>
                <w:lang w:val="sk-SK"/>
              </w:rPr>
              <w:t>p</w:t>
            </w:r>
            <w:r>
              <w:rPr>
                <w:rFonts w:hint="default" w:ascii="Calibri" w:hAnsi="Calibri" w:cs="Calibri"/>
                <w:i w:val="0"/>
                <w:iCs w:val="0"/>
                <w:caps w:val="0"/>
                <w:color w:val="202124"/>
                <w:spacing w:val="0"/>
                <w:sz w:val="16"/>
                <w:szCs w:val="16"/>
                <w:shd w:val="clear" w:fill="F8F9FA"/>
                <w:lang w:val="en-US"/>
              </w:rPr>
              <w:t>atient dependence</w:t>
            </w:r>
            <w:r>
              <w:rPr>
                <w:rFonts w:hint="default" w:ascii="Calibri" w:hAnsi="Calibri" w:cs="Calibri"/>
                <w:i w:val="0"/>
                <w:iCs w:val="0"/>
                <w:caps w:val="0"/>
                <w:color w:val="202124"/>
                <w:spacing w:val="0"/>
                <w:sz w:val="16"/>
                <w:szCs w:val="16"/>
                <w:shd w:val="clear" w:fill="F8F9FA"/>
                <w:lang w:val="sk-SK"/>
              </w:rPr>
              <w:t xml:space="preserve"> and</w:t>
            </w:r>
            <w:r>
              <w:rPr>
                <w:rFonts w:hint="default" w:ascii="Calibri" w:hAnsi="Calibri" w:cs="Calibri"/>
                <w:i w:val="0"/>
                <w:iCs w:val="0"/>
                <w:caps w:val="0"/>
                <w:color w:val="202124"/>
                <w:spacing w:val="0"/>
                <w:sz w:val="16"/>
                <w:szCs w:val="16"/>
                <w:shd w:val="clear" w:fill="F8F9FA"/>
                <w:lang w:val="en-US"/>
              </w:rPr>
              <w:t xml:space="preserve"> various c</w:t>
            </w:r>
            <w:r>
              <w:rPr>
                <w:rFonts w:hint="default" w:ascii="Calibri" w:hAnsi="Calibri" w:cs="Calibri"/>
                <w:i w:val="0"/>
                <w:iCs w:val="0"/>
                <w:caps w:val="0"/>
                <w:color w:val="202124"/>
                <w:spacing w:val="0"/>
                <w:sz w:val="16"/>
                <w:szCs w:val="16"/>
                <w:shd w:val="clear" w:fill="F8F9FA"/>
                <w:lang w:val="sk-SK"/>
              </w:rPr>
              <w:t>linical disciplines of nursing. The n</w:t>
            </w:r>
            <w:r>
              <w:rPr>
                <w:rFonts w:hint="default" w:ascii="Calibri" w:hAnsi="Calibri" w:cs="Calibri"/>
                <w:i w:val="0"/>
                <w:iCs w:val="0"/>
                <w:caps w:val="0"/>
                <w:color w:val="202124"/>
                <w:spacing w:val="0"/>
                <w:sz w:val="16"/>
                <w:szCs w:val="16"/>
                <w:shd w:val="clear" w:fill="F8F9FA"/>
                <w:lang w:val="en-US"/>
              </w:rPr>
              <w:t>ursing models and theories can help manage and provide care in in</w:t>
            </w:r>
            <w:r>
              <w:rPr>
                <w:rFonts w:hint="default" w:ascii="Calibri" w:hAnsi="Calibri" w:cs="Calibri"/>
                <w:i w:val="0"/>
                <w:iCs w:val="0"/>
                <w:caps w:val="0"/>
                <w:color w:val="202124"/>
                <w:spacing w:val="0"/>
                <w:sz w:val="16"/>
                <w:szCs w:val="16"/>
                <w:shd w:val="clear" w:fill="F8F9FA"/>
                <w:lang w:val="sk-SK"/>
              </w:rPr>
              <w:t>patient</w:t>
            </w:r>
            <w:r>
              <w:rPr>
                <w:rFonts w:hint="default" w:ascii="Calibri" w:hAnsi="Calibri" w:cs="Calibri"/>
                <w:i w:val="0"/>
                <w:iCs w:val="0"/>
                <w:caps w:val="0"/>
                <w:color w:val="202124"/>
                <w:spacing w:val="0"/>
                <w:sz w:val="16"/>
                <w:szCs w:val="16"/>
                <w:shd w:val="clear" w:fill="F8F9FA"/>
                <w:lang w:val="en-US"/>
              </w:rPr>
              <w:t xml:space="preserve"> and </w:t>
            </w:r>
            <w:r>
              <w:rPr>
                <w:rFonts w:hint="default" w:ascii="Calibri" w:hAnsi="Calibri" w:cs="Calibri"/>
                <w:i w:val="0"/>
                <w:iCs w:val="0"/>
                <w:caps w:val="0"/>
                <w:color w:val="202124"/>
                <w:spacing w:val="0"/>
                <w:sz w:val="16"/>
                <w:szCs w:val="16"/>
                <w:shd w:val="clear" w:fill="F8F9FA"/>
                <w:lang w:val="sk-SK"/>
              </w:rPr>
              <w:t>outpatient</w:t>
            </w:r>
            <w:r>
              <w:rPr>
                <w:rFonts w:hint="default" w:ascii="Calibri" w:hAnsi="Calibri" w:cs="Calibri"/>
                <w:i w:val="0"/>
                <w:iCs w:val="0"/>
                <w:caps w:val="0"/>
                <w:color w:val="202124"/>
                <w:spacing w:val="0"/>
                <w:sz w:val="16"/>
                <w:szCs w:val="16"/>
                <w:shd w:val="clear" w:fill="F8F9FA"/>
                <w:lang w:val="en-US"/>
              </w:rPr>
              <w:t xml:space="preserve"> care,  nursing </w:t>
            </w:r>
            <w:r>
              <w:rPr>
                <w:rFonts w:hint="default" w:ascii="Calibri" w:hAnsi="Calibri" w:cs="Calibri"/>
                <w:i w:val="0"/>
                <w:iCs w:val="0"/>
                <w:caps w:val="0"/>
                <w:color w:val="202124"/>
                <w:spacing w:val="0"/>
                <w:sz w:val="16"/>
                <w:szCs w:val="16"/>
                <w:shd w:val="clear" w:fill="F8F9FA"/>
                <w:lang w:val="sk-SK"/>
              </w:rPr>
              <w:t xml:space="preserve">home </w:t>
            </w:r>
            <w:r>
              <w:rPr>
                <w:rFonts w:hint="default" w:ascii="Calibri" w:hAnsi="Calibri" w:cs="Calibri"/>
                <w:i w:val="0"/>
                <w:iCs w:val="0"/>
                <w:caps w:val="0"/>
                <w:color w:val="202124"/>
                <w:spacing w:val="0"/>
                <w:sz w:val="16"/>
                <w:szCs w:val="16"/>
                <w:shd w:val="clear" w:fill="F8F9FA"/>
                <w:lang w:val="en-US"/>
              </w:rPr>
              <w:t>care in the field of community nursing</w:t>
            </w:r>
            <w:r>
              <w:rPr>
                <w:rFonts w:hint="default" w:ascii="Calibri" w:hAnsi="Calibri" w:cs="Calibri"/>
                <w:i w:val="0"/>
                <w:iCs w:val="0"/>
                <w:caps w:val="0"/>
                <w:color w:val="202124"/>
                <w:spacing w:val="0"/>
                <w:sz w:val="16"/>
                <w:szCs w:val="16"/>
                <w:shd w:val="clear" w:fill="F8F9FA"/>
                <w:lang w:val="sk-SK"/>
              </w:rPr>
              <w:t>.</w:t>
            </w:r>
            <w:bookmarkStart w:id="1" w:name="te_1"/>
            <w:bookmarkEnd w:id="1"/>
            <w:bookmarkStart w:id="2" w:name="tf_1"/>
            <w:bookmarkEnd w:id="2"/>
            <w:r>
              <w:rPr>
                <w:rFonts w:hint="default" w:ascii="Calibri" w:hAnsi="Calibri" w:cs="Calibri"/>
                <w:i w:val="0"/>
                <w:iCs w:val="0"/>
                <w:caps w:val="0"/>
                <w:color w:val="202124"/>
                <w:spacing w:val="0"/>
                <w:sz w:val="16"/>
                <w:szCs w:val="16"/>
                <w:shd w:val="clear" w:fill="F8F9FA"/>
                <w:lang w:val="sk-SK"/>
              </w:rPr>
              <w:t>T</w:t>
            </w:r>
            <w:r>
              <w:rPr>
                <w:rFonts w:hint="default" w:ascii="Calibri" w:hAnsi="Calibri" w:eastAsia="NotoSansMono-Regular" w:cs="Calibri"/>
                <w:b w:val="0"/>
                <w:bCs w:val="0"/>
                <w:i w:val="0"/>
                <w:iCs w:val="0"/>
                <w:color w:val="000000"/>
                <w:spacing w:val="0"/>
                <w:sz w:val="16"/>
                <w:szCs w:val="16"/>
                <w:lang w:val="sk"/>
              </w:rPr>
              <w:t xml:space="preserve">he book introduced </w:t>
            </w:r>
            <w:r>
              <w:rPr>
                <w:rFonts w:hint="default" w:ascii="Calibri" w:hAnsi="Calibri" w:eastAsia="NotoSansMono-Regular" w:cs="Calibri"/>
                <w:b w:val="0"/>
                <w:bCs w:val="0"/>
                <w:i w:val="0"/>
                <w:iCs w:val="0"/>
                <w:color w:val="000000"/>
                <w:spacing w:val="0"/>
                <w:sz w:val="16"/>
                <w:szCs w:val="16"/>
                <w:lang w:val="sk-SK"/>
              </w:rPr>
              <w:t>nursing  model of V. Henderson, model  functional health patterns  M. Gordon, behavioral model D. Johnson, nursing theory of H. Peplau,  R-T-L model daily living activities, Neuman, Riehl , Mercer, Wiedenbach, Leininger and Orem nursing model.</w:t>
            </w:r>
            <w:r>
              <w:rPr>
                <w:rFonts w:hint="default" w:ascii="Calibri" w:hAnsi="Calibri" w:eastAsia="NotoSansMono-Regular" w:cs="Calibri"/>
                <w:b w:val="0"/>
                <w:bCs w:val="0"/>
                <w:i w:val="0"/>
                <w:iCs w:val="0"/>
                <w:color w:val="000000"/>
                <w:spacing w:val="0"/>
                <w:sz w:val="16"/>
                <w:szCs w:val="16"/>
                <w:lang w:val="sk"/>
              </w:rPr>
              <w:t xml:space="preserve"> </w:t>
            </w:r>
          </w:p>
        </w:tc>
        <w:tc>
          <w:tcPr>
            <w:tcW w:w="16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810" w:hRule="atLeast"/>
        </w:trPr>
        <w:tc>
          <w:tcPr>
            <w:tcW w:w="506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 Range up to 200 words</w:t>
            </w:r>
          </w:p>
        </w:tc>
        <w:tc>
          <w:tcPr>
            <w:tcW w:w="5265" w:type="dxa"/>
            <w:tcBorders>
              <w:top w:val="nil"/>
              <w:left w:val="single" w:color="auto" w:sz="8" w:space="0"/>
              <w:bottom w:val="single" w:color="auto" w:sz="8" w:space="0"/>
              <w:right w:val="single" w:color="auto" w:sz="8" w:space="0"/>
            </w:tcBorders>
            <w:shd w:val="clear" w:color="auto" w:fill="auto"/>
          </w:tcPr>
          <w:p>
            <w:pPr>
              <w:keepNext w:val="0"/>
              <w:keepLines w:val="0"/>
              <w:widowControl/>
              <w:suppressLineNumbers w:val="0"/>
              <w:autoSpaceDE w:val="0"/>
              <w:autoSpaceDN w:val="0"/>
              <w:adjustRightInd w:val="0"/>
              <w:spacing w:before="0" w:beforeAutospacing="0" w:after="0" w:afterAutospacing="0"/>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TKÁČOVÁ, Ľ</w:t>
            </w:r>
            <w:r>
              <w:rPr>
                <w:rFonts w:hint="default" w:ascii="Calibri" w:hAnsi="Calibri" w:eastAsia="Times New Roman" w:cs="Calibri"/>
                <w:kern w:val="0"/>
                <w:sz w:val="16"/>
                <w:szCs w:val="16"/>
                <w:lang w:val="sk-SK" w:eastAsia="zh-CN" w:bidi="ar"/>
              </w:rPr>
              <w:t>.,</w:t>
            </w:r>
            <w:r>
              <w:rPr>
                <w:rFonts w:hint="default" w:ascii="Calibri" w:hAnsi="Calibri" w:eastAsia="Times New Roman" w:cs="Calibri"/>
                <w:kern w:val="0"/>
                <w:sz w:val="16"/>
                <w:szCs w:val="16"/>
                <w:lang w:val="sk" w:eastAsia="zh-CN" w:bidi="ar"/>
              </w:rPr>
              <w:t xml:space="preserve"> MAGUROVÁ, D</w:t>
            </w:r>
            <w:r>
              <w:rPr>
                <w:rFonts w:hint="default" w:ascii="Calibri" w:hAnsi="Calibri" w:eastAsia="Times New Roman" w:cs="Calibri"/>
                <w:kern w:val="0"/>
                <w:sz w:val="16"/>
                <w:szCs w:val="16"/>
                <w:lang w:val="sk-SK" w:eastAsia="zh-CN" w:bidi="ar"/>
              </w:rPr>
              <w:t>.,</w:t>
            </w:r>
            <w:r>
              <w:rPr>
                <w:rFonts w:hint="default" w:ascii="Calibri" w:hAnsi="Calibri" w:eastAsia="Times New Roman" w:cs="Calibri"/>
                <w:kern w:val="0"/>
                <w:sz w:val="16"/>
                <w:szCs w:val="16"/>
                <w:lang w:val="sk" w:eastAsia="zh-CN" w:bidi="ar"/>
              </w:rPr>
              <w:t xml:space="preserve"> GREŠŠ HALÁSZ, B</w:t>
            </w:r>
            <w:r>
              <w:rPr>
                <w:rFonts w:hint="default" w:ascii="Calibri" w:hAnsi="Calibri" w:eastAsia="Times New Roman" w:cs="Calibri"/>
                <w:kern w:val="0"/>
                <w:sz w:val="16"/>
                <w:szCs w:val="16"/>
                <w:lang w:val="sk-SK" w:eastAsia="zh-CN" w:bidi="ar"/>
              </w:rPr>
              <w:t>.,</w:t>
            </w:r>
            <w:r>
              <w:rPr>
                <w:rFonts w:hint="default" w:ascii="Calibri" w:hAnsi="Calibri" w:eastAsia="Times New Roman" w:cs="Calibri"/>
                <w:kern w:val="0"/>
                <w:sz w:val="16"/>
                <w:szCs w:val="16"/>
                <w:lang w:val="sk" w:eastAsia="zh-CN" w:bidi="ar"/>
              </w:rPr>
              <w:t>ŠKRABUĽAKOVÁ, I</w:t>
            </w:r>
            <w:r>
              <w:rPr>
                <w:rFonts w:hint="default" w:ascii="Calibri" w:hAnsi="Calibri" w:eastAsia="Times New Roman" w:cs="Calibri"/>
                <w:kern w:val="0"/>
                <w:sz w:val="16"/>
                <w:szCs w:val="16"/>
                <w:lang w:val="sk-SK" w:eastAsia="zh-CN" w:bidi="ar"/>
              </w:rPr>
              <w:t xml:space="preserve">.: </w:t>
            </w:r>
            <w:r>
              <w:rPr>
                <w:rFonts w:hint="default" w:ascii="Calibri" w:hAnsi="Calibri" w:eastAsia="Times New Roman" w:cs="Calibri"/>
                <w:kern w:val="0"/>
                <w:sz w:val="16"/>
                <w:szCs w:val="16"/>
                <w:lang w:val="sk" w:eastAsia="zh-CN" w:bidi="ar"/>
              </w:rPr>
              <w:t xml:space="preserve"> Vybrané </w:t>
            </w:r>
          </w:p>
          <w:p>
            <w:pPr>
              <w:keepNext w:val="0"/>
              <w:keepLines w:val="0"/>
              <w:widowControl/>
              <w:suppressLineNumbers w:val="0"/>
              <w:autoSpaceDE w:val="0"/>
              <w:autoSpaceDN w:val="0"/>
              <w:adjustRightInd w:val="0"/>
              <w:spacing w:before="0" w:beforeAutospacing="0" w:after="0" w:afterAutospacing="0"/>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konceptuálne modely pri posúdení u pacientky s anorexiou nervosa. In Sestra :</w:t>
            </w:r>
          </w:p>
          <w:p>
            <w:pPr>
              <w:keepNext w:val="0"/>
              <w:keepLines w:val="0"/>
              <w:widowControl/>
              <w:suppressLineNumbers w:val="0"/>
              <w:autoSpaceDE w:val="0"/>
              <w:autoSpaceDN w:val="0"/>
              <w:adjustRightInd w:val="0"/>
              <w:spacing w:before="0" w:beforeAutospacing="0" w:after="0" w:afterAutospacing="0"/>
              <w:ind w:left="515" w:right="0" w:hanging="515" w:hangingChars="322"/>
              <w:jc w:val="left"/>
              <w:rPr>
                <w:rFonts w:hint="default" w:ascii="Calibri" w:hAnsi="Calibri" w:eastAsia="Times New Roman" w:cs="Calibri"/>
                <w:kern w:val="0"/>
                <w:sz w:val="16"/>
                <w:szCs w:val="16"/>
                <w:lang w:val="sk-SK" w:eastAsia="zh-CN" w:bidi="ar"/>
              </w:rPr>
            </w:pPr>
            <w:r>
              <w:rPr>
                <w:rFonts w:hint="default" w:ascii="Calibri" w:hAnsi="Calibri" w:eastAsia="Times New Roman" w:cs="Calibri"/>
                <w:kern w:val="0"/>
                <w:sz w:val="16"/>
                <w:szCs w:val="16"/>
                <w:lang w:val="sk" w:eastAsia="zh-CN" w:bidi="ar"/>
              </w:rPr>
              <w:t xml:space="preserve"> odborný časopis s recenzovanou prílohou pre sestry, pôrodné asistentky,</w:t>
            </w:r>
            <w:r>
              <w:rPr>
                <w:rFonts w:hint="default" w:ascii="Calibri" w:hAnsi="Calibri" w:eastAsia="Times New Roman" w:cs="Calibri"/>
                <w:kern w:val="0"/>
                <w:sz w:val="16"/>
                <w:szCs w:val="16"/>
                <w:lang w:val="sk-SK" w:eastAsia="zh-CN" w:bidi="ar"/>
              </w:rPr>
              <w:t xml:space="preserve"> </w:t>
            </w:r>
          </w:p>
          <w:p>
            <w:pPr>
              <w:keepNext w:val="0"/>
              <w:keepLines w:val="0"/>
              <w:widowControl/>
              <w:suppressLineNumbers w:val="0"/>
              <w:autoSpaceDE w:val="0"/>
              <w:autoSpaceDN w:val="0"/>
              <w:adjustRightInd w:val="0"/>
              <w:spacing w:before="0" w:beforeAutospacing="0" w:after="0" w:afterAutospacing="0"/>
              <w:ind w:left="515" w:right="0" w:hanging="515" w:hangingChars="322"/>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SK" w:eastAsia="zh-CN" w:bidi="ar"/>
              </w:rPr>
              <w:t>le</w:t>
            </w:r>
            <w:r>
              <w:rPr>
                <w:rFonts w:hint="default" w:ascii="Calibri" w:hAnsi="Calibri" w:eastAsia="Times New Roman" w:cs="Calibri"/>
                <w:kern w:val="0"/>
                <w:sz w:val="16"/>
                <w:szCs w:val="16"/>
                <w:lang w:val="sk" w:eastAsia="zh-CN" w:bidi="ar"/>
              </w:rPr>
              <w:t xml:space="preserve">károv a iných zdravotníckych </w:t>
            </w:r>
            <w:r>
              <w:rPr>
                <w:rFonts w:hint="default" w:ascii="Calibri" w:hAnsi="Calibri" w:eastAsia="Times New Roman" w:cs="Calibri"/>
                <w:kern w:val="0"/>
                <w:sz w:val="16"/>
                <w:szCs w:val="16"/>
                <w:lang w:val="sk-SK" w:eastAsia="zh-CN" w:bidi="ar"/>
              </w:rPr>
              <w:t xml:space="preserve"> </w:t>
            </w:r>
            <w:r>
              <w:rPr>
                <w:rFonts w:hint="default" w:ascii="Calibri" w:hAnsi="Calibri" w:eastAsia="Times New Roman" w:cs="Calibri"/>
                <w:kern w:val="0"/>
                <w:sz w:val="16"/>
                <w:szCs w:val="16"/>
                <w:lang w:val="sk" w:eastAsia="zh-CN" w:bidi="ar"/>
              </w:rPr>
              <w:t xml:space="preserve">pracovníkov. - Bratislava : Silvia Hodálová - </w:t>
            </w:r>
          </w:p>
          <w:p>
            <w:pPr>
              <w:keepNext w:val="0"/>
              <w:keepLines w:val="0"/>
              <w:widowControl/>
              <w:suppressLineNumbers w:val="0"/>
              <w:autoSpaceDE w:val="0"/>
              <w:autoSpaceDN w:val="0"/>
              <w:adjustRightInd w:val="0"/>
              <w:spacing w:before="0" w:beforeAutospacing="0" w:after="0" w:afterAutospacing="0"/>
              <w:ind w:left="515" w:right="0" w:hanging="515" w:hangingChars="322"/>
              <w:jc w:val="left"/>
              <w:rPr>
                <w:rFonts w:ascii="Calibri" w:hAnsi="Calibri" w:eastAsia="Times New Roman" w:cs="Calibri"/>
                <w:color w:val="000000"/>
                <w:sz w:val="16"/>
                <w:szCs w:val="16"/>
                <w:lang w:eastAsia="sk-SK"/>
              </w:rPr>
            </w:pPr>
            <w:r>
              <w:rPr>
                <w:rFonts w:hint="default" w:ascii="Calibri" w:hAnsi="Calibri" w:eastAsia="Times New Roman" w:cs="Calibri"/>
                <w:kern w:val="0"/>
                <w:sz w:val="16"/>
                <w:szCs w:val="16"/>
                <w:lang w:val="sk" w:eastAsia="zh-CN" w:bidi="ar"/>
              </w:rPr>
              <w:t>VIUSS, 2019. ISSN 1335-9444,</w:t>
            </w:r>
            <w:r>
              <w:rPr>
                <w:rFonts w:hint="default" w:ascii="Calibri" w:hAnsi="Calibri" w:eastAsia="Times New Roman" w:cs="Calibri"/>
                <w:kern w:val="0"/>
                <w:sz w:val="16"/>
                <w:szCs w:val="16"/>
                <w:lang w:val="sk-SK" w:eastAsia="zh-CN" w:bidi="ar"/>
              </w:rPr>
              <w:t xml:space="preserve"> </w:t>
            </w:r>
            <w:r>
              <w:rPr>
                <w:rFonts w:hint="default" w:ascii="Calibri" w:hAnsi="Calibri" w:eastAsia="Times New Roman" w:cs="Calibri"/>
                <w:kern w:val="0"/>
                <w:sz w:val="16"/>
                <w:szCs w:val="16"/>
                <w:lang w:val="sk" w:eastAsia="zh-CN" w:bidi="ar"/>
              </w:rPr>
              <w:t xml:space="preserve"> 2019, roč. 18, č. 5-6, s. 27-30.</w:t>
            </w:r>
          </w:p>
        </w:tc>
        <w:tc>
          <w:tcPr>
            <w:tcW w:w="16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70" w:hRule="atLeast"/>
        </w:trPr>
        <w:tc>
          <w:tcPr>
            <w:tcW w:w="506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265" w:type="dxa"/>
            <w:tcBorders>
              <w:top w:val="nil"/>
              <w:left w:val="single" w:color="auto" w:sz="8" w:space="0"/>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výstup sa zameriava na skvalitnenie poskytovania zdravotníckej a ošetrovateľskej starostlivosti, poskytovanie humanistickej, holistickej  individuálnej  ošetrovateľskej starostlivosti na základe individuálnych potrieb pacienta s použitém teórií a  modelov ošetrovateľskej starostlivosti, podporu samostatnej roly sestry v zdravotníckom systéme /</w:t>
            </w:r>
            <w:r>
              <w:rPr>
                <w:rFonts w:hint="default" w:ascii="Calibri" w:hAnsi="Calibri" w:cs="Calibri"/>
                <w:i w:val="0"/>
                <w:iCs w:val="0"/>
                <w:caps w:val="0"/>
                <w:color w:val="202124"/>
                <w:spacing w:val="0"/>
                <w:sz w:val="16"/>
                <w:szCs w:val="16"/>
                <w:shd w:val="clear" w:fill="F8F9FA"/>
                <w:lang w:val="en-US"/>
              </w:rPr>
              <w:t xml:space="preserve">output focuses on improving the provision of health and nursing care, providing humanistic, holistic individual nursing care based on the individual needs of the patient with the applied theory and models of nursing </w:t>
            </w:r>
            <w:r>
              <w:rPr>
                <w:rFonts w:hint="default" w:ascii="Calibri" w:hAnsi="Calibri" w:cs="Calibri"/>
                <w:i w:val="0"/>
                <w:iCs w:val="0"/>
                <w:caps w:val="0"/>
                <w:color w:val="202124"/>
                <w:spacing w:val="0"/>
                <w:sz w:val="16"/>
                <w:szCs w:val="16"/>
                <w:shd w:val="clear" w:fill="F8F9FA"/>
                <w:lang w:val="sk-SK"/>
              </w:rPr>
              <w:t>care</w:t>
            </w:r>
            <w:r>
              <w:rPr>
                <w:rFonts w:hint="default" w:ascii="Calibri" w:hAnsi="Calibri" w:cs="Calibri"/>
                <w:i w:val="0"/>
                <w:iCs w:val="0"/>
                <w:caps w:val="0"/>
                <w:color w:val="202124"/>
                <w:spacing w:val="0"/>
                <w:sz w:val="16"/>
                <w:szCs w:val="16"/>
                <w:shd w:val="clear" w:fill="F8F9FA"/>
                <w:lang w:val="en-US"/>
              </w:rPr>
              <w:t>, supporting the independent role of the nurse in the health system</w:t>
            </w:r>
            <w:r>
              <w:rPr>
                <w:rFonts w:hint="default" w:ascii="Calibri" w:hAnsi="Calibri" w:cs="Calibri"/>
                <w:i w:val="0"/>
                <w:iCs w:val="0"/>
                <w:caps w:val="0"/>
                <w:color w:val="202124"/>
                <w:spacing w:val="0"/>
                <w:sz w:val="16"/>
                <w:szCs w:val="16"/>
                <w:shd w:val="clear" w:fill="F8F9FA"/>
                <w:lang w:val="sk-SK"/>
              </w:rPr>
              <w:t>.</w:t>
            </w:r>
            <w:r>
              <w:rPr>
                <w:rFonts w:hint="default" w:ascii="Calibri" w:hAnsi="Calibri" w:eastAsia="Times New Roman" w:cs="Calibri"/>
                <w:color w:val="000000"/>
                <w:sz w:val="16"/>
                <w:szCs w:val="16"/>
                <w:lang w:eastAsia="sk-SK"/>
              </w:rPr>
              <w:t> </w:t>
            </w:r>
          </w:p>
        </w:tc>
        <w:tc>
          <w:tcPr>
            <w:tcW w:w="16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506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265" w:type="dxa"/>
            <w:tcBorders>
              <w:top w:val="nil"/>
              <w:left w:val="single" w:color="auto" w:sz="8" w:space="0"/>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 xml:space="preserve">výstup sa zameriava na skvalitnenie poskytovania ošetrovateľskej starostlivosti, poskytovanie  a riadenie humanistickej, holistickej  individuálnej  ošetrovateľskej starostlivosti na základe individuálnych potrieb pacienta s použitém teórií a  modelov ošetrovateľskej starostlivosti, podporuje samostatnú rolu sestry v zdravotníckom systéme, ošetrovateľské teórie a modely umožňujú sestre hlbšie pochopiť súvislosti s ošetrovateľským procesom, umožňujú sestre identifikovať individuálne potreby pacienta v zdraví a chorobe v rámcii nemocničnej i mimonemocničnej starostlivosti, sú nástrojom na posudzovanie  potrieb v komunitnej a domácej ošetrovateľskej starostlivosti, pomáhajú riadeniu ošetrovateľskej starostlivosti.  Obsah  výstupu môže byť aplikovaný v predmetoch, ošetrovateľský proces, teória ošetrovateľstva, ošetrovateľský mananžment, komunitné ošetrovateľstvo, domáca ošetrovateľská starostlvosť, v ošetrovateľskej starostlivosti v klinických odboroch.  / </w:t>
            </w:r>
            <w:r>
              <w:rPr>
                <w:rFonts w:hint="default" w:ascii="Calibri" w:hAnsi="Calibri" w:cs="Calibri"/>
                <w:i w:val="0"/>
                <w:iCs w:val="0"/>
                <w:caps w:val="0"/>
                <w:color w:val="202124"/>
                <w:spacing w:val="0"/>
                <w:sz w:val="16"/>
                <w:szCs w:val="16"/>
                <w:shd w:val="clear" w:fill="F8F9FA"/>
                <w:lang w:val="en-US"/>
              </w:rPr>
              <w:t>The output focuses on improving the provision of nursing care, providing and managing humanistic, holistic individual nursing care based on the individual needs of the patient with applied nursing theories and models, support</w:t>
            </w:r>
            <w:r>
              <w:rPr>
                <w:rFonts w:hint="default" w:ascii="Calibri" w:hAnsi="Calibri" w:cs="Calibri"/>
                <w:i w:val="0"/>
                <w:iCs w:val="0"/>
                <w:caps w:val="0"/>
                <w:color w:val="202124"/>
                <w:spacing w:val="0"/>
                <w:sz w:val="16"/>
                <w:szCs w:val="16"/>
                <w:shd w:val="clear" w:fill="F8F9FA"/>
                <w:lang w:val="sk-SK"/>
              </w:rPr>
              <w:t>s</w:t>
            </w:r>
            <w:r>
              <w:rPr>
                <w:rFonts w:hint="default" w:ascii="Calibri" w:hAnsi="Calibri" w:cs="Calibri"/>
                <w:i w:val="0"/>
                <w:iCs w:val="0"/>
                <w:caps w:val="0"/>
                <w:color w:val="202124"/>
                <w:spacing w:val="0"/>
                <w:sz w:val="16"/>
                <w:szCs w:val="16"/>
                <w:shd w:val="clear" w:fill="F8F9FA"/>
                <w:lang w:val="en-US"/>
              </w:rPr>
              <w:t xml:space="preserve"> independent role of the nurse in the health system, nursing theories and models allow the nurse to gain a deeper understanding of the context of the nursing process</w:t>
            </w:r>
            <w:r>
              <w:rPr>
                <w:rFonts w:hint="default" w:ascii="Calibri" w:hAnsi="Calibri" w:cs="Calibri"/>
                <w:i w:val="0"/>
                <w:iCs w:val="0"/>
                <w:caps w:val="0"/>
                <w:color w:val="202124"/>
                <w:spacing w:val="0"/>
                <w:sz w:val="16"/>
                <w:szCs w:val="16"/>
                <w:shd w:val="clear" w:fill="F8F9FA"/>
                <w:lang w:val="sk-SK"/>
              </w:rPr>
              <w:t>,</w:t>
            </w:r>
            <w:r>
              <w:rPr>
                <w:rFonts w:hint="default" w:ascii="Calibri" w:hAnsi="Calibri" w:cs="Calibri"/>
                <w:i w:val="0"/>
                <w:iCs w:val="0"/>
                <w:caps w:val="0"/>
                <w:color w:val="202124"/>
                <w:spacing w:val="0"/>
                <w:sz w:val="16"/>
                <w:szCs w:val="16"/>
                <w:shd w:val="clear" w:fill="F8F9FA"/>
                <w:lang w:val="en-US"/>
              </w:rPr>
              <w:t xml:space="preserve"> enable the nurse to identify the individual needs of the patient in health and illness in</w:t>
            </w:r>
            <w:r>
              <w:rPr>
                <w:rFonts w:hint="default" w:ascii="Calibri" w:hAnsi="Calibri" w:cs="Calibri"/>
                <w:i w:val="0"/>
                <w:iCs w:val="0"/>
                <w:caps w:val="0"/>
                <w:color w:val="202124"/>
                <w:spacing w:val="0"/>
                <w:sz w:val="16"/>
                <w:szCs w:val="16"/>
                <w:shd w:val="clear" w:fill="F8F9FA"/>
                <w:lang w:val="sk-SK"/>
              </w:rPr>
              <w:t>patient</w:t>
            </w:r>
            <w:r>
              <w:rPr>
                <w:rFonts w:hint="default" w:ascii="Calibri" w:hAnsi="Calibri" w:cs="Calibri"/>
                <w:i w:val="0"/>
                <w:iCs w:val="0"/>
                <w:caps w:val="0"/>
                <w:color w:val="202124"/>
                <w:spacing w:val="0"/>
                <w:sz w:val="16"/>
                <w:szCs w:val="16"/>
                <w:shd w:val="clear" w:fill="F8F9FA"/>
                <w:lang w:val="en-US"/>
              </w:rPr>
              <w:t xml:space="preserve"> and </w:t>
            </w:r>
            <w:r>
              <w:rPr>
                <w:rFonts w:hint="default" w:ascii="Calibri" w:hAnsi="Calibri" w:cs="Calibri"/>
                <w:i w:val="0"/>
                <w:iCs w:val="0"/>
                <w:caps w:val="0"/>
                <w:color w:val="202124"/>
                <w:spacing w:val="0"/>
                <w:sz w:val="16"/>
                <w:szCs w:val="16"/>
                <w:shd w:val="clear" w:fill="F8F9FA"/>
                <w:lang w:val="sk-SK"/>
              </w:rPr>
              <w:t>outpatient</w:t>
            </w:r>
            <w:r>
              <w:rPr>
                <w:rFonts w:hint="default" w:ascii="Calibri" w:hAnsi="Calibri" w:cs="Calibri"/>
                <w:i w:val="0"/>
                <w:iCs w:val="0"/>
                <w:caps w:val="0"/>
                <w:color w:val="202124"/>
                <w:spacing w:val="0"/>
                <w:sz w:val="16"/>
                <w:szCs w:val="16"/>
                <w:shd w:val="clear" w:fill="F8F9FA"/>
                <w:lang w:val="en-US"/>
              </w:rPr>
              <w:t xml:space="preserve"> care, </w:t>
            </w:r>
            <w:r>
              <w:rPr>
                <w:rFonts w:hint="default" w:ascii="Calibri" w:hAnsi="Calibri" w:cs="Calibri"/>
                <w:i w:val="0"/>
                <w:iCs w:val="0"/>
                <w:caps w:val="0"/>
                <w:color w:val="202124"/>
                <w:spacing w:val="0"/>
                <w:sz w:val="16"/>
                <w:szCs w:val="16"/>
                <w:shd w:val="clear" w:fill="F8F9FA"/>
                <w:lang w:val="sk-SK"/>
              </w:rPr>
              <w:t xml:space="preserve">they </w:t>
            </w:r>
            <w:r>
              <w:rPr>
                <w:rFonts w:hint="default" w:ascii="Calibri" w:hAnsi="Calibri" w:cs="Calibri"/>
                <w:i w:val="0"/>
                <w:iCs w:val="0"/>
                <w:caps w:val="0"/>
                <w:color w:val="202124"/>
                <w:spacing w:val="0"/>
                <w:sz w:val="16"/>
                <w:szCs w:val="16"/>
                <w:shd w:val="clear" w:fill="F8F9FA"/>
                <w:lang w:val="en-US"/>
              </w:rPr>
              <w:t>are a tool for assessing the needs of community and home nursing care, help manage nursing care.</w:t>
            </w:r>
            <w:r>
              <w:rPr>
                <w:rFonts w:hint="default" w:ascii="Calibri" w:hAnsi="Calibri" w:cs="Calibri"/>
                <w:i w:val="0"/>
                <w:iCs w:val="0"/>
                <w:caps w:val="0"/>
                <w:color w:val="202124"/>
                <w:spacing w:val="0"/>
                <w:sz w:val="16"/>
                <w:szCs w:val="16"/>
                <w:shd w:val="clear" w:fill="F8F9FA"/>
                <w:lang w:val="sk-SK"/>
              </w:rPr>
              <w:t xml:space="preserve"> </w:t>
            </w:r>
            <w:r>
              <w:rPr>
                <w:rFonts w:hint="default" w:ascii="Calibri" w:hAnsi="Calibri" w:cs="Calibri"/>
                <w:i w:val="0"/>
                <w:iCs w:val="0"/>
                <w:caps w:val="0"/>
                <w:color w:val="202124"/>
                <w:spacing w:val="0"/>
                <w:sz w:val="16"/>
                <w:szCs w:val="16"/>
                <w:shd w:val="clear" w:fill="F8F9FA"/>
                <w:lang w:val="en-US"/>
              </w:rPr>
              <w:t>The content of the output can be applied in subjects, the nursing process, the theory of nursing, nursing management, community nursing, nursing home care, nursing care in clinical disciplines.</w:t>
            </w:r>
          </w:p>
        </w:tc>
        <w:tc>
          <w:tcPr>
            <w:tcW w:w="160" w:type="dxa"/>
            <w:gridSpan w:val="2"/>
            <w:vAlign w:val="center"/>
          </w:tcPr>
          <w:p>
            <w:pPr>
              <w:spacing w:after="0" w:line="240" w:lineRule="auto"/>
              <w:rPr>
                <w:rFonts w:ascii="Times New Roman" w:hAnsi="Times New Roman" w:eastAsia="Times New Roman" w:cs="Times New Roman"/>
                <w:sz w:val="20"/>
                <w:szCs w:val="20"/>
                <w:lang w:eastAsia="sk-SK"/>
              </w:rPr>
            </w:pPr>
          </w:p>
        </w:tc>
      </w:tr>
    </w:tbl>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NotoSansMono-Regular">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4C0ADE"/>
    <w:rsid w:val="0073261A"/>
    <w:rsid w:val="00EB628B"/>
    <w:rsid w:val="07E403AE"/>
    <w:rsid w:val="11A97F81"/>
    <w:rsid w:val="14DE3538"/>
    <w:rsid w:val="18460893"/>
    <w:rsid w:val="191D61E9"/>
    <w:rsid w:val="1BFB367B"/>
    <w:rsid w:val="4320370D"/>
    <w:rsid w:val="48A040E0"/>
    <w:rsid w:val="58E82246"/>
    <w:rsid w:val="697456C6"/>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llowedHyperlink"/>
    <w:basedOn w:val="2"/>
    <w:semiHidden/>
    <w:unhideWhenUsed/>
    <w:uiPriority w:val="99"/>
    <w:rPr>
      <w:color w:val="800000"/>
      <w:u w:val="single"/>
    </w:rPr>
  </w:style>
  <w:style w:type="paragraph" w:styleId="5">
    <w:name w:val="footnote text"/>
    <w:basedOn w:val="1"/>
    <w:unhideWhenUsed/>
    <w:uiPriority w:val="99"/>
    <w:pPr>
      <w:spacing w:after="0" w:line="240" w:lineRule="auto"/>
    </w:pPr>
    <w:rPr>
      <w:sz w:val="20"/>
      <w:szCs w:val="20"/>
    </w:rPr>
  </w:style>
  <w:style w:type="paragraph" w:styleId="6">
    <w:name w:val="HTML Preformatted"/>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character" w:styleId="7">
    <w:name w:val="Hyperlink"/>
    <w:basedOn w:val="2"/>
    <w:semiHidden/>
    <w:unhideWhenUsed/>
    <w:uiPriority w:val="99"/>
    <w:rPr>
      <w:color w:val="0563C1"/>
      <w:u w:val="single"/>
    </w:rPr>
  </w:style>
  <w:style w:type="paragraph" w:styleId="8">
    <w:name w:val="Normal (Web)"/>
    <w:semiHidden/>
    <w:unhideWhenUsed/>
    <w:uiPriority w:val="99"/>
    <w:pPr>
      <w:spacing w:before="0" w:beforeAutospacing="1" w:after="0" w:afterAutospacing="0" w:line="276" w:lineRule="auto"/>
      <w:ind w:left="0" w:right="0"/>
      <w:jc w:val="left"/>
    </w:pPr>
    <w:rPr>
      <w:rFonts w:ascii="Times New Roman" w:hAnsi="Times New Roman" w:eastAsia="SimSun" w:cs="Times New Roman"/>
      <w:kern w:val="0"/>
      <w:sz w:val="24"/>
      <w:szCs w:val="24"/>
      <w:lang w:val="en-US" w:eastAsia="zh-CN" w:bidi="ar"/>
    </w:rPr>
  </w:style>
  <w:style w:type="table" w:styleId="9">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Normálna tabuľka"/>
    <w:semiHidden/>
    <w:qFormat/>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0" w:type="dxa"/>
        <w:bottom w:w="0" w:type="dxa"/>
        <w:right w:w="10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835</Words>
  <Characters>4765</Characters>
  <Lines>39</Lines>
  <Paragraphs>11</Paragraphs>
  <TotalTime>0</TotalTime>
  <ScaleCrop>false</ScaleCrop>
  <LinksUpToDate>false</LinksUpToDate>
  <CharactersWithSpaces>5589</CharactersWithSpaces>
  <Application>WPS Office_11.2.0.10308_F1E327BC-269C-435d-A152-05C5408002CA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2022-03-10T08:22:00Z</dcterms:created>
  <dc:creator>Jakub Králik</dc:creator>
  <cp:lastModifiedBy>Asus</cp:lastModifiedBy>
  <dcterms:modified xsi:type="dcterms:W3CDTF">2022-05-19T21:45:54Z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18F97FF656824AD488DEC1AEC5D7E00D</vt:lpwstr>
  </property>
</Properties>
</file>